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t>ЭКРА 2</w:t>
      </w:r>
      <w:r>
        <w:rPr>
          <w:rStyle w:val="Bold"/>
          <w:b/>
        </w:rPr>
        <w:t>4</w:t>
      </w:r>
      <w:r>
        <w:rPr>
          <w:rStyle w:val="Bold"/>
          <w:b/>
        </w:rPr>
        <w:t>7</w:t>
      </w:r>
      <w:r>
        <w:rPr>
          <w:rStyle w:val="Bold"/>
          <w:b/>
        </w:rPr>
        <w:t>(А)</w:t>
      </w:r>
      <w:r>
        <w:rPr>
          <w:rStyle w:val="Bold"/>
          <w:b/>
        </w:rPr>
        <w:t xml:space="preserve"> 0</w:t>
      </w:r>
      <w:r>
        <w:rPr>
          <w:rStyle w:val="Bold"/>
          <w:b/>
        </w:rPr>
        <w:t>3</w:t>
      </w:r>
      <w:r>
        <w:rPr>
          <w:rStyle w:val="Bold"/>
          <w:b/>
        </w:rPr>
        <w:t>0</w:t>
      </w:r>
      <w:r>
        <w:t>1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 xml:space="preserve">(терминал </w:t>
      </w:r>
      <w:r>
        <w:rPr>
          <w:rStyle w:val="Bold"/>
          <w:b w:val="0"/>
          <w:sz w:val="20"/>
          <w:szCs w:val="20"/>
        </w:rPr>
        <w:t xml:space="preserve">управления c функциями контроллера ячейки, релейной защиты, автоматики и </w:t>
      </w:r>
      <w:r>
        <w:rPr>
          <w:rStyle w:val="Bold"/>
          <w:b w:val="0"/>
          <w:sz w:val="20"/>
          <w:szCs w:val="20"/>
        </w:rPr>
        <w:br/>
      </w:r>
      <w:r>
        <w:rPr>
          <w:rStyle w:val="Bold"/>
          <w:b w:val="0"/>
          <w:sz w:val="20"/>
          <w:szCs w:val="20"/>
        </w:rPr>
        <w:t>сигнализации линии</w:t>
      </w:r>
      <w:r>
        <w:rPr>
          <w:rStyle w:val="Bold"/>
          <w:b w:val="0"/>
          <w:sz w:val="20"/>
          <w:szCs w:val="20"/>
        </w:rPr>
        <w:t>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(кВ)</w:t>
            </w:r>
          </w:p>
        </w:tc>
      </w:tr>
      <w:t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(до -40°С, без </w:t>
            </w:r>
            <w:r>
              <w:rPr>
                <w:rFonts w:cs="Arial"/>
                <w:sz w:val="20"/>
                <w:szCs w:val="20"/>
              </w:rPr>
              <w:t>дисплея)</w:t>
            </w:r>
          </w:p>
        </w:tc>
      </w:tr>
      <w:tr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247А 0301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6pt" o:ole="">
                  <v:imagedata r:id="rId8" o:title=""/>
                </v:shape>
                <o:OLEObject Type="Embed" ProgID="Visio.Drawing.11" ShapeID="_x0000_i1025" DrawAspect="Content" ObjectID="_1642831386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>
        <w:tc>
          <w:tcPr>
            <w:tcW w:w="6629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IP</w:t>
            </w:r>
            <w:r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294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32" type="#_x0000_t75" style="width:98.25pt;height:4.5pt" o:ole="">
                  <v:imagedata r:id="rId8" o:title=""/>
                </v:shape>
                <o:OLEObject Type="Embed" ProgID="Visio.Drawing.11" ShapeID="_x0000_i1032" DrawAspect="Content" ObjectID="_1642831387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05248958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306359837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01002844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205931401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782949257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7635756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115360424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37" type="#_x0000_t75" style="width:98.25pt;height:2.25pt" o:ole="">
                  <v:imagedata r:id="rId8" o:title=""/>
                </v:shape>
                <o:OLEObject Type="Embed" ProgID="Visio.Drawing.11" ShapeID="_x0000_i1037" DrawAspect="Content" ObjectID="_1642831388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/>
          <w:sz w:val="20"/>
        </w:rPr>
      </w:pPr>
      <w:r>
        <w:rPr>
          <w:sz w:val="20"/>
          <w:szCs w:val="20"/>
        </w:rPr>
        <w:t>Параметры</w:t>
      </w:r>
      <w:r>
        <w:rPr>
          <w:sz w:val="20"/>
        </w:rPr>
        <w:t xml:space="preserve"> защищаемого объекта</w:t>
      </w:r>
      <w:r>
        <w:rPr>
          <w:sz w:val="20"/>
        </w:rPr>
        <w:t xml:space="preserve"> </w:t>
      </w:r>
    </w:p>
    <w:p>
      <w:pPr>
        <w:pStyle w:val="usual"/>
        <w:numPr>
          <w:ilvl w:val="1"/>
          <w:numId w:val="20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sz w:val="20"/>
        </w:rPr>
      </w:pPr>
      <w:r>
        <w:rPr>
          <w:sz w:val="20"/>
        </w:rPr>
        <w:t xml:space="preserve"> Данные для реализации защиты от замыканий на землю</w:t>
      </w:r>
      <w:r>
        <w:rPr>
          <w:sz w:val="20"/>
          <w:vertAlign w:val="superscript"/>
        </w:rPr>
        <w:t>*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2"/>
        <w:gridCol w:w="845"/>
        <w:gridCol w:w="312"/>
        <w:gridCol w:w="3143"/>
        <w:gridCol w:w="708"/>
        <w:gridCol w:w="13"/>
      </w:tblGrid>
      <w:tr>
        <w:trPr>
          <w:trHeight w:val="244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Режим заземления нейтрали сети</w:t>
            </w:r>
          </w:p>
        </w:tc>
        <w:sdt>
          <w:sdtPr>
            <w:rPr>
              <w:rFonts w:cs="Arial"/>
              <w:sz w:val="20"/>
              <w:szCs w:val="20"/>
            </w:rPr>
            <w:id w:val="-1560937119"/>
            <w:showingPlcHdr/>
            <w:comboBox>
              <w:listItem w:value="Выберите элемент."/>
              <w:listItem w:displayText="изолированная" w:value="изолированная"/>
              <w:listItem w:displayText="резистивная" w:value="резистивная"/>
              <w:listItem w:displayText="компенсированная" w:value="компенсированная"/>
            </w:comboBox>
          </w:sdtPr>
          <w:sdtContent>
            <w:tc>
              <w:tcPr>
                <w:tcW w:w="5683" w:type="dxa"/>
                <w:gridSpan w:val="6"/>
                <w:shd w:val="clear" w:color="auto" w:fill="auto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af3"/>
                  </w:rPr>
                  <w:t>Выберите элемент.</w:t>
                </w:r>
              </w:p>
            </w:tc>
          </w:sdtContent>
        </w:sdt>
      </w:tr>
      <w:tr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Первичный ток замыкания на землю, А</w: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(при наличии соответствующего расчета)</w:t>
            </w:r>
          </w:p>
        </w:tc>
        <w:sdt>
          <w:sdtPr>
            <w:alias w:val="Тип защищаемого объекта"/>
            <w:tag w:val="Тип защищаемого объекта"/>
            <w:id w:val="-311104651"/>
            <w:showingPlcHdr/>
            <w:text/>
          </w:sdtPr>
          <w:sdtContent>
            <w:tc>
              <w:tcPr>
                <w:tcW w:w="568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gridAfter w:val="1"/>
          <w:wAfter w:w="13" w:type="dxa"/>
          <w:trHeight w:val="68"/>
        </w:trPr>
        <w:tc>
          <w:tcPr>
            <w:tcW w:w="464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Подключение защиты от замыканий на землю</w:t>
            </w:r>
          </w:p>
        </w:tc>
        <w:sdt>
          <w:sdtPr>
            <w:alias w:val="ФТНП"/>
            <w:tag w:val="ФТНП"/>
            <w:id w:val="-50860268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6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 ФТНП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alias w:val="ТТНП"/>
            <w:tag w:val="ТТНП"/>
            <w:id w:val="-121196541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6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к ТТНП</w:t>
            </w:r>
            <w:r>
              <w:rPr>
                <w:rFonts w:cs="Arial"/>
              </w:rPr>
              <w:t xml:space="preserve"> (типовое)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ТТНП:</w:t>
            </w:r>
            <w:r>
              <w:t xml:space="preserve"> </w:t>
            </w:r>
            <w:sdt>
              <w:sdtPr>
                <w:alias w:val="Тип защищаемого объекта"/>
                <w:tag w:val="Тип защищаемого объекта"/>
                <w:id w:val="1916587291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573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Коэффициент трансформации ТТНП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</w:rPr>
              <w:t>2/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</w:rPr>
              <w:t>1)</w:t>
            </w:r>
          </w:p>
        </w:tc>
        <w:sdt>
          <w:sdtPr>
            <w:rPr>
              <w:sz w:val="20"/>
              <w:szCs w:val="20"/>
            </w:rPr>
            <w:alias w:val="Iвв первич"/>
            <w:tag w:val="Iвв первич"/>
            <w:id w:val="62923575"/>
            <w:showingPlcHdr/>
            <w:text/>
          </w:sdtPr>
          <w:sdtContent>
            <w:tc>
              <w:tcPr>
                <w:tcW w:w="1507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pStyle w:val="usual"/>
                  <w:ind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usu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alias w:val="Iвв втор"/>
            <w:tag w:val="Iвв втор"/>
            <w:id w:val="1219087454"/>
            <w:showingPlcHdr/>
            <w:text/>
          </w:sdtPr>
          <w:sdtContent>
            <w:tc>
              <w:tcPr>
                <w:tcW w:w="3864" w:type="dxa"/>
                <w:gridSpan w:val="3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pStyle w:val="usual"/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284"/>
        </w:trPr>
        <w:tc>
          <w:tcPr>
            <w:tcW w:w="1032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10"/>
                <w:szCs w:val="10"/>
              </w:rPr>
            </w:pPr>
            <w:r>
              <w:object w:dxaOrig="2036" w:dyaOrig="170">
                <v:shape id="_x0000_i1028" type="#_x0000_t75" style="width:98.25pt;height:4.5pt" o:ole="">
                  <v:imagedata r:id="rId8" o:title=""/>
                </v:shape>
                <o:OLEObject Type="Embed" ProgID="Visio.Drawing.11" ShapeID="_x0000_i1028" DrawAspect="Content" ObjectID="_1642831389" r:id="rId12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Заполняется при задействовании защиты от однофазных замыканий на землю (ЗОЗЗ-1)</w:t>
            </w:r>
            <w:r>
              <w:rPr>
                <w:rFonts w:cs="Arial"/>
                <w:sz w:val="16"/>
                <w:szCs w:val="20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b/>
          <w:sz w:val="8"/>
          <w:szCs w:val="8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sz w:val="20"/>
        </w:rPr>
        <w:t xml:space="preserve">Характеристики </w:t>
      </w:r>
      <w:r>
        <w:rPr>
          <w:sz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0,2 А </w:t>
            </w:r>
            <w:r>
              <w:rPr>
                <w:rFonts w:cs="Arial"/>
                <w:i/>
                <w:sz w:val="20"/>
                <w:szCs w:val="20"/>
              </w:rPr>
              <w:t>диапазон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>
              <w:rPr>
                <w:rFonts w:cs="Arial"/>
                <w:i/>
                <w:sz w:val="20"/>
                <w:szCs w:val="20"/>
              </w:rPr>
              <w:t>0,001</w:t>
            </w:r>
            <w:r>
              <w:rPr>
                <w:rFonts w:cs="Arial"/>
                <w:i/>
                <w:sz w:val="20"/>
                <w:szCs w:val="20"/>
              </w:rPr>
              <w:t xml:space="preserve"> до </w:t>
            </w:r>
            <w:r>
              <w:rPr>
                <w:rFonts w:cs="Arial"/>
                <w:i/>
                <w:sz w:val="20"/>
                <w:szCs w:val="20"/>
              </w:rPr>
              <w:t>0,5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0,6 А (типовой) </w:t>
            </w:r>
            <w:r>
              <w:rPr>
                <w:rFonts w:cs="Arial"/>
                <w:i/>
                <w:sz w:val="20"/>
                <w:szCs w:val="20"/>
              </w:rPr>
              <w:t>диапазон</w:t>
            </w:r>
            <w:r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>
              <w:rPr>
                <w:rFonts w:cs="Arial"/>
                <w:i/>
                <w:sz w:val="20"/>
                <w:szCs w:val="20"/>
              </w:rPr>
              <w:t>0,003</w:t>
            </w:r>
            <w:r>
              <w:rPr>
                <w:rFonts w:cs="Arial"/>
                <w:i/>
                <w:sz w:val="20"/>
                <w:szCs w:val="20"/>
              </w:rPr>
              <w:t xml:space="preserve"> до </w:t>
            </w:r>
            <w:r>
              <w:rPr>
                <w:rFonts w:cs="Arial"/>
                <w:i/>
                <w:sz w:val="20"/>
                <w:szCs w:val="20"/>
              </w:rPr>
              <w:t>1,6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333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с </w:t>
            </w:r>
            <w:proofErr w:type="spellStart"/>
            <w:r>
              <w:rPr>
                <w:rFonts w:cs="Arial"/>
                <w:sz w:val="20"/>
                <w:szCs w:val="20"/>
              </w:rPr>
              <w:t>загрублением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уставки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МТЗ-1 (ТО) при включении выключателя;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пуском по напряжению;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контролем направленности;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ускорением 2й и 3й ступеней при включении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>
              <w:rPr>
                <w:rFonts w:cs="Arial"/>
                <w:sz w:val="20"/>
                <w:szCs w:val="20"/>
              </w:rPr>
              <w:t>: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по напряжению нулевой последовательности;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по току нулевой последовательности;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контролем направленности тока нулевой последовательности;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по току нулевой последовательности в нейтрали ТСН на низкой стороне.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двойных замыканий на землю.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Газовая защита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>
        <w:trPr>
          <w:trHeight w:val="50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Автоматическое повторное включение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Выполнение команд АЧР и ЧАПВ.</w:t>
            </w:r>
          </w:p>
        </w:tc>
      </w:tr>
      <w:tr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</w:t>
            </w:r>
            <w:r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цепей.</w:t>
            </w:r>
          </w:p>
        </w:tc>
      </w:tr>
      <w:tr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Учет механического и коммутационного ресурса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Определение места повреждения при междуфазном КЗ.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Функция измерения и обработки электрических и технологических параметров присоединения (функция </w:t>
            </w:r>
            <w:proofErr w:type="gramStart"/>
            <w:r>
              <w:rPr>
                <w:rFonts w:cs="Arial"/>
                <w:sz w:val="20"/>
                <w:szCs w:val="20"/>
              </w:rPr>
              <w:t>СИ)*</w:t>
            </w:r>
            <w:proofErr w:type="gramEnd"/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29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9" type="#_x0000_t75" style="width:98.25pt;height:4.5pt" o:ole="">
                  <v:imagedata r:id="rId8" o:title=""/>
                </v:shape>
                <o:OLEObject Type="Embed" ProgID="Visio.Drawing.11" ShapeID="_x0000_i1029" DrawAspect="Content" ObjectID="_1642831390" r:id="rId13"/>
              </w:objec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af7"/>
        <w:spacing w:after="120" w:line="240" w:lineRule="auto"/>
        <w:ind w:firstLine="0"/>
        <w:jc w:val="left"/>
        <w:rPr>
          <w:sz w:val="18"/>
          <w:szCs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8"/>
          <w:szCs w:val="8"/>
        </w:rPr>
      </w:pPr>
    </w:p>
    <w:p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Ethernet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rFonts w:cs="Arial"/>
                <w:sz w:val="20"/>
                <w:szCs w:val="20"/>
              </w:rPr>
              <w:t xml:space="preserve">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0" type="#_x0000_t75" style="width:98.25pt;height:2.25pt" o:ole="">
                  <v:imagedata r:id="rId8" o:title=""/>
                </v:shape>
                <o:OLEObject Type="Embed" ProgID="Visio.Drawing.11" ShapeID="_x0000_i1030" DrawAspect="Content" ObjectID="_1642831391" r:id="rId14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</w:t>
            </w:r>
            <w:r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****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176880328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77876839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 w:val="0"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  <w:p>
            <w:pPr>
              <w:pStyle w:val="af5"/>
              <w:rPr>
                <w:sz w:val="14"/>
                <w:szCs w:val="14"/>
              </w:rPr>
            </w:pP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</w:pPr>
      <w:r>
        <w:br w:type="page"/>
      </w: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А.1</w:t>
      </w:r>
      <w:r>
        <w:rPr>
          <w:sz w:val="20"/>
          <w:szCs w:val="20"/>
        </w:rPr>
        <w:t xml:space="preserve">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6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</w:t>
      </w:r>
      <w:r>
        <w:rPr>
          <w:sz w:val="18"/>
        </w:rPr>
        <w:t>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sectPr>
      <w:footerReference w:type="even" r:id="rId15"/>
      <w:headerReference w:type="first" r:id="rId16"/>
      <w:footerReference w:type="first" r:id="rId17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0552D"/>
    <w:multiLevelType w:val="multilevel"/>
    <w:tmpl w:val="693ECE70"/>
    <w:numStyleLink w:val="a"/>
  </w:abstractNum>
  <w:abstractNum w:abstractNumId="16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4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"/>
  </w:num>
  <w:num w:numId="5">
    <w:abstractNumId w:val="15"/>
  </w:num>
  <w:num w:numId="6">
    <w:abstractNumId w:val="16"/>
  </w:num>
  <w:num w:numId="7">
    <w:abstractNumId w:val="17"/>
  </w:num>
  <w:num w:numId="8">
    <w:abstractNumId w:val="11"/>
  </w:num>
  <w:num w:numId="9">
    <w:abstractNumId w:val="22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25"/>
  </w:num>
  <w:num w:numId="26">
    <w:abstractNumId w:val="6"/>
  </w:num>
  <w:num w:numId="2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AB40363B-F36E-464D-A0D1-5B06FBA7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5238-299E-4B7A-BD20-CAEBD6F3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187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45</cp:revision>
  <cp:lastPrinted>2016-11-09T09:01:00Z</cp:lastPrinted>
  <dcterms:created xsi:type="dcterms:W3CDTF">2016-10-04T10:54:00Z</dcterms:created>
  <dcterms:modified xsi:type="dcterms:W3CDTF">2020-02-10T06:16:00Z</dcterms:modified>
</cp:coreProperties>
</file>